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F58A" w14:textId="3D53770C" w:rsidR="00281333" w:rsidRPr="00354A7E" w:rsidRDefault="00354A7E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  <w:bookmarkStart w:id="0" w:name="_GoBack"/>
      <w:bookmarkEnd w:id="0"/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 w:rsidR="3AB3A82E" w:rsidRPr="00354A7E">
        <w:rPr>
          <w:rFonts w:ascii="Calibri" w:eastAsia="Calibri" w:hAnsi="Calibri" w:cs="Calibri"/>
          <w:sz w:val="30"/>
          <w:szCs w:val="30"/>
          <w:lang w:val="fi-FI"/>
        </w:rPr>
        <w:t>28.11</w:t>
      </w:r>
      <w:r w:rsidRPr="00354A7E">
        <w:rPr>
          <w:rFonts w:ascii="Calibri" w:eastAsia="Calibri" w:hAnsi="Calibri" w:cs="Calibri"/>
          <w:sz w:val="30"/>
          <w:szCs w:val="30"/>
          <w:lang w:val="fi-FI"/>
        </w:rPr>
        <w:t>.2022</w:t>
      </w:r>
    </w:p>
    <w:p w14:paraId="5C175161" w14:textId="77777777" w:rsidR="00281333" w:rsidRPr="00354A7E" w:rsidRDefault="00354A7E">
      <w:pPr>
        <w:pStyle w:val="Heading2"/>
        <w:keepNext w:val="0"/>
        <w:keepLines w:val="0"/>
        <w:shd w:val="clear" w:color="auto" w:fill="FFFFFF"/>
        <w:spacing w:before="300" w:after="160" w:line="240" w:lineRule="auto"/>
        <w:rPr>
          <w:rFonts w:ascii="Calibri" w:eastAsia="Calibri" w:hAnsi="Calibri" w:cs="Calibri"/>
          <w:b/>
          <w:color w:val="00205B"/>
          <w:sz w:val="30"/>
          <w:szCs w:val="30"/>
          <w:lang w:val="fi-FI"/>
        </w:rPr>
      </w:pPr>
      <w:bookmarkStart w:id="1" w:name="_w5wbszjoslc4" w:colFirst="0" w:colLast="0"/>
      <w:bookmarkEnd w:id="1"/>
      <w:r w:rsidRPr="00354A7E">
        <w:rPr>
          <w:rFonts w:ascii="Calibri" w:eastAsia="Calibri" w:hAnsi="Calibri" w:cs="Calibri"/>
          <w:sz w:val="54"/>
          <w:szCs w:val="54"/>
          <w:lang w:val="fi-FI"/>
        </w:rPr>
        <w:t>Sponsoroinnin periaatteet ja menettelytavat Lapin yliopistossa</w:t>
      </w:r>
    </w:p>
    <w:p w14:paraId="672A6659" w14:textId="77777777" w:rsidR="00281333" w:rsidRPr="00354A7E" w:rsidRDefault="00281333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</w:p>
    <w:p w14:paraId="2F29FC83" w14:textId="77777777" w:rsidR="00281333" w:rsidRPr="00354A7E" w:rsidRDefault="00354A7E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00354A7E">
        <w:rPr>
          <w:rFonts w:ascii="Calibri" w:eastAsia="Calibri" w:hAnsi="Calibri" w:cs="Calibri"/>
          <w:sz w:val="30"/>
          <w:szCs w:val="30"/>
          <w:lang w:val="fi-FI"/>
        </w:rPr>
        <w:t>Sponsoroinnilla tarkoitetaan suorituksia, joista yliopisto saa asianmukaisen vastikkeen esimerkiksi yliopiston näkyvyyden tai tunnettuuden lisääntymisenä.</w:t>
      </w:r>
    </w:p>
    <w:p w14:paraId="0AD54D4A" w14:textId="593DBAAD" w:rsidR="00281333" w:rsidRPr="00354A7E" w:rsidRDefault="00354A7E" w:rsidP="390EEE28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390EEE28">
        <w:rPr>
          <w:rFonts w:ascii="Calibri" w:eastAsia="Calibri" w:hAnsi="Calibri" w:cs="Calibri"/>
          <w:sz w:val="30"/>
          <w:szCs w:val="30"/>
          <w:lang w:val="fi-FI"/>
        </w:rPr>
        <w:t xml:space="preserve">Tähän dokumenttiin on kirjattu ne Lapin yliopiston sponsoroinnin periaatteet ja menettelytavat, jotka ohjaavat yliopiston sponsorointitoimintaa. </w:t>
      </w:r>
    </w:p>
    <w:p w14:paraId="345F32EF" w14:textId="77777777" w:rsidR="00281333" w:rsidRPr="00354A7E" w:rsidRDefault="00354A7E">
      <w:pPr>
        <w:shd w:val="clear" w:color="auto" w:fill="FFFFFF"/>
        <w:spacing w:after="360"/>
        <w:rPr>
          <w:rFonts w:ascii="Calibri" w:eastAsia="Calibri" w:hAnsi="Calibri" w:cs="Calibri"/>
          <w:b/>
          <w:sz w:val="30"/>
          <w:szCs w:val="30"/>
          <w:lang w:val="fi-FI"/>
        </w:rPr>
      </w:pPr>
      <w:r w:rsidRPr="00354A7E">
        <w:rPr>
          <w:rFonts w:ascii="Calibri" w:eastAsia="Calibri" w:hAnsi="Calibri" w:cs="Calibri"/>
          <w:b/>
          <w:sz w:val="30"/>
          <w:szCs w:val="30"/>
          <w:lang w:val="fi-FI"/>
        </w:rPr>
        <w:t>Sponsorointikohteet</w:t>
      </w:r>
    </w:p>
    <w:p w14:paraId="4F82DA08" w14:textId="77777777" w:rsidR="00281333" w:rsidRPr="00354A7E" w:rsidRDefault="00354A7E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00354A7E">
        <w:rPr>
          <w:rFonts w:ascii="Calibri" w:eastAsia="Calibri" w:hAnsi="Calibri" w:cs="Calibri"/>
          <w:sz w:val="30"/>
          <w:szCs w:val="30"/>
          <w:lang w:val="fi-FI"/>
        </w:rPr>
        <w:t>Sponsoroinnin periaatteet rakentuvat Lapin yliopiston arvoille ja tukevat yliopiston strategisia tavoitteita. Yhteiskunnallisesti vastuullinen toiminta ja toiminnan vaikuttavuus ovat keskeisessä roolissa yhteistyökohteiden valinnassa.</w:t>
      </w:r>
    </w:p>
    <w:p w14:paraId="4095F09A" w14:textId="02D3E0C1" w:rsidR="00281333" w:rsidRPr="00354A7E" w:rsidRDefault="00354A7E" w:rsidP="2356C20D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2356C20D">
        <w:rPr>
          <w:rFonts w:ascii="Calibri" w:eastAsia="Calibri" w:hAnsi="Calibri" w:cs="Calibri"/>
          <w:sz w:val="30"/>
          <w:szCs w:val="30"/>
          <w:lang w:val="fi-FI"/>
        </w:rPr>
        <w:t>Lapin yliopisto on ensisijaisesti mukana tukemassa hankkeita, jotka edistävät</w:t>
      </w:r>
      <w:r w:rsidR="2F219192" w:rsidRPr="2356C20D">
        <w:rPr>
          <w:rFonts w:ascii="Calibri" w:eastAsia="Calibri" w:hAnsi="Calibri" w:cs="Calibri"/>
          <w:sz w:val="30"/>
          <w:szCs w:val="30"/>
          <w:lang w:val="fi-FI"/>
        </w:rPr>
        <w:t xml:space="preserve"> jotain seuraavista</w:t>
      </w:r>
      <w:r w:rsidR="3212A77F" w:rsidRPr="2356C20D">
        <w:rPr>
          <w:rFonts w:ascii="Calibri" w:eastAsia="Calibri" w:hAnsi="Calibri" w:cs="Calibri"/>
          <w:sz w:val="30"/>
          <w:szCs w:val="30"/>
          <w:lang w:val="fi-FI"/>
        </w:rPr>
        <w:t xml:space="preserve"> kolmesta</w:t>
      </w:r>
      <w:r w:rsidR="2AE30289" w:rsidRPr="2356C20D">
        <w:rPr>
          <w:rFonts w:ascii="Calibri" w:eastAsia="Calibri" w:hAnsi="Calibri" w:cs="Calibri"/>
          <w:sz w:val="30"/>
          <w:szCs w:val="30"/>
          <w:lang w:val="fi-FI"/>
        </w:rPr>
        <w:t>:</w:t>
      </w:r>
    </w:p>
    <w:p w14:paraId="1F98D06B" w14:textId="7E8A1CD4" w:rsidR="00281333" w:rsidRPr="00354A7E" w:rsidRDefault="00354A7E" w:rsidP="2356C20D">
      <w:pPr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30"/>
          <w:szCs w:val="30"/>
          <w:lang w:val="fi-FI"/>
        </w:rPr>
      </w:pPr>
      <w:r w:rsidRPr="2356C20D">
        <w:rPr>
          <w:rFonts w:ascii="Calibri" w:eastAsia="Calibri" w:hAnsi="Calibri" w:cs="Calibri"/>
          <w:sz w:val="30"/>
          <w:szCs w:val="30"/>
          <w:lang w:val="fi-FI"/>
        </w:rPr>
        <w:t>arktisen alueen ja sen ihmisten hyvinvointia</w:t>
      </w:r>
      <w:r w:rsidR="03A7AADC" w:rsidRPr="2356C20D">
        <w:rPr>
          <w:rFonts w:ascii="Calibri" w:eastAsia="Calibri" w:hAnsi="Calibri" w:cs="Calibri"/>
          <w:sz w:val="30"/>
          <w:szCs w:val="30"/>
          <w:lang w:val="fi-FI"/>
        </w:rPr>
        <w:t>,</w:t>
      </w:r>
      <w:r w:rsidRPr="2356C20D">
        <w:rPr>
          <w:rFonts w:ascii="Calibri" w:eastAsia="Calibri" w:hAnsi="Calibri" w:cs="Calibri"/>
          <w:sz w:val="30"/>
          <w:szCs w:val="30"/>
          <w:lang w:val="fi-FI"/>
        </w:rPr>
        <w:t xml:space="preserve"> tasa-arvoa</w:t>
      </w:r>
      <w:r w:rsidR="0E6C18A8" w:rsidRPr="2356C20D">
        <w:rPr>
          <w:rFonts w:ascii="Calibri" w:eastAsia="Calibri" w:hAnsi="Calibri" w:cs="Calibri"/>
          <w:sz w:val="30"/>
          <w:szCs w:val="30"/>
          <w:lang w:val="fi-FI"/>
        </w:rPr>
        <w:t xml:space="preserve"> ja kulttuuria</w:t>
      </w:r>
    </w:p>
    <w:p w14:paraId="647D4CE9" w14:textId="139262E9" w:rsidR="00281333" w:rsidRPr="00354A7E" w:rsidRDefault="00354A7E" w:rsidP="2356C20D">
      <w:pPr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30"/>
          <w:szCs w:val="30"/>
          <w:lang w:val="fi-FI"/>
        </w:rPr>
      </w:pPr>
      <w:r w:rsidRPr="2356C20D">
        <w:rPr>
          <w:rFonts w:ascii="Calibri" w:eastAsia="Calibri" w:hAnsi="Calibri" w:cs="Calibri"/>
          <w:sz w:val="30"/>
          <w:szCs w:val="30"/>
          <w:lang w:val="fi-FI"/>
        </w:rPr>
        <w:t>pohjoista tiedettä, taidett</w:t>
      </w:r>
      <w:r w:rsidR="12AF3A12" w:rsidRPr="2356C20D">
        <w:rPr>
          <w:rFonts w:ascii="Calibri" w:eastAsia="Calibri" w:hAnsi="Calibri" w:cs="Calibri"/>
          <w:sz w:val="30"/>
          <w:szCs w:val="30"/>
          <w:lang w:val="fi-FI"/>
        </w:rPr>
        <w:t>a ja osaamista</w:t>
      </w:r>
    </w:p>
    <w:p w14:paraId="280F9A9B" w14:textId="5CE03F7B" w:rsidR="00354A7E" w:rsidRDefault="00354A7E" w:rsidP="2356C20D">
      <w:pPr>
        <w:numPr>
          <w:ilvl w:val="0"/>
          <w:numId w:val="1"/>
        </w:num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2356C20D">
        <w:rPr>
          <w:rFonts w:ascii="Calibri" w:eastAsia="Calibri" w:hAnsi="Calibri" w:cs="Calibri"/>
          <w:sz w:val="30"/>
          <w:szCs w:val="30"/>
          <w:lang w:val="fi-FI"/>
        </w:rPr>
        <w:t>ekologista tai sosiaalista kestävää kehitystä sekä yliopiston yhteiskunnallista vastuuta</w:t>
      </w:r>
    </w:p>
    <w:p w14:paraId="2B3126F8" w14:textId="49137DD4" w:rsidR="52C034E6" w:rsidRDefault="52C034E6" w:rsidP="2356C20D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2356C20D">
        <w:rPr>
          <w:rFonts w:ascii="Calibri" w:eastAsia="Calibri" w:hAnsi="Calibri" w:cs="Calibri"/>
          <w:sz w:val="30"/>
          <w:szCs w:val="30"/>
          <w:lang w:val="fi-FI"/>
        </w:rPr>
        <w:t>s</w:t>
      </w:r>
      <w:r w:rsidR="3F6EE28F" w:rsidRPr="2356C20D">
        <w:rPr>
          <w:rFonts w:ascii="Calibri" w:eastAsia="Calibri" w:hAnsi="Calibri" w:cs="Calibri"/>
          <w:sz w:val="30"/>
          <w:szCs w:val="30"/>
          <w:lang w:val="fi-FI"/>
        </w:rPr>
        <w:t xml:space="preserve">ekä </w:t>
      </w:r>
      <w:r w:rsidR="4C599E82" w:rsidRPr="2356C20D">
        <w:rPr>
          <w:rFonts w:ascii="Calibri" w:eastAsia="Calibri" w:hAnsi="Calibri" w:cs="Calibri"/>
          <w:sz w:val="30"/>
          <w:szCs w:val="30"/>
          <w:lang w:val="fi-FI"/>
        </w:rPr>
        <w:t xml:space="preserve">lisäävät samalla </w:t>
      </w:r>
      <w:r w:rsidR="2028AEE6" w:rsidRPr="2356C20D">
        <w:rPr>
          <w:rFonts w:ascii="Calibri" w:eastAsia="Calibri" w:hAnsi="Calibri" w:cs="Calibri"/>
          <w:sz w:val="30"/>
          <w:szCs w:val="30"/>
          <w:lang w:val="fi-FI"/>
        </w:rPr>
        <w:t>yliopiston vetovoimaa ja myönteistä mielikuvaa</w:t>
      </w:r>
      <w:r w:rsidR="68602191" w:rsidRPr="2356C20D">
        <w:rPr>
          <w:rFonts w:ascii="Calibri" w:eastAsia="Calibri" w:hAnsi="Calibri" w:cs="Calibri"/>
          <w:sz w:val="30"/>
          <w:szCs w:val="30"/>
          <w:lang w:val="fi-FI"/>
        </w:rPr>
        <w:t>.</w:t>
      </w:r>
    </w:p>
    <w:p w14:paraId="5DAB6C7B" w14:textId="2E3F13F3" w:rsidR="00281333" w:rsidRPr="00354A7E" w:rsidRDefault="00281333" w:rsidP="2356C20D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</w:p>
    <w:p w14:paraId="3D0059AD" w14:textId="77777777" w:rsidR="00281333" w:rsidRPr="00354A7E" w:rsidRDefault="00354A7E">
      <w:pPr>
        <w:spacing w:before="240" w:after="240"/>
        <w:rPr>
          <w:rFonts w:ascii="Calibri" w:eastAsia="Calibri" w:hAnsi="Calibri" w:cs="Calibri"/>
          <w:color w:val="FF0000"/>
          <w:sz w:val="30"/>
          <w:szCs w:val="30"/>
          <w:lang w:val="fi-FI"/>
        </w:rPr>
      </w:pPr>
      <w:r w:rsidRPr="00354A7E">
        <w:rPr>
          <w:rFonts w:ascii="Calibri" w:eastAsia="Calibri" w:hAnsi="Calibri" w:cs="Calibri"/>
          <w:b/>
          <w:sz w:val="30"/>
          <w:szCs w:val="30"/>
          <w:lang w:val="fi-FI"/>
        </w:rPr>
        <w:t>Sponsorointia koskevat päätökset</w:t>
      </w:r>
    </w:p>
    <w:p w14:paraId="6B7AE3FF" w14:textId="4AF38774" w:rsidR="00F32C5C" w:rsidRDefault="00354A7E" w:rsidP="2356C20D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2356C20D">
        <w:rPr>
          <w:rFonts w:ascii="Calibri" w:eastAsia="Calibri" w:hAnsi="Calibri" w:cs="Calibri"/>
          <w:sz w:val="30"/>
          <w:szCs w:val="30"/>
          <w:lang w:val="fi-FI"/>
        </w:rPr>
        <w:t>Sponsoroinnin koordinoin</w:t>
      </w:r>
      <w:r w:rsidR="2D3D2E24" w:rsidRPr="2356C20D">
        <w:rPr>
          <w:rFonts w:ascii="Calibri" w:eastAsia="Calibri" w:hAnsi="Calibri" w:cs="Calibri"/>
          <w:sz w:val="30"/>
          <w:szCs w:val="30"/>
          <w:lang w:val="fi-FI"/>
        </w:rPr>
        <w:t>nista</w:t>
      </w:r>
      <w:r w:rsidRPr="2356C20D">
        <w:rPr>
          <w:rFonts w:ascii="Calibri" w:eastAsia="Calibri" w:hAnsi="Calibri" w:cs="Calibri"/>
          <w:sz w:val="30"/>
          <w:szCs w:val="30"/>
          <w:lang w:val="fi-FI"/>
        </w:rPr>
        <w:t xml:space="preserve"> ja valmistelusta vastaa yliopiston LUC viestintäpalvelut. Sponsorointi tukee ensi sijassa yliopiston yhteiskunnallista vuorovaikutusta sekä mielikuvaa yliopistosta houkuttelevana ja vastuullisena akateemisena toimijana ja -yhteisönä sekä vastuullisena alueensa kehittäjänä. </w:t>
      </w:r>
    </w:p>
    <w:p w14:paraId="1A32ADA7" w14:textId="77777777" w:rsidR="006F3DB4" w:rsidRPr="004A5A75" w:rsidRDefault="006F3DB4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004A5A75">
        <w:rPr>
          <w:rFonts w:ascii="Calibri" w:eastAsia="Calibri" w:hAnsi="Calibri" w:cs="Calibri"/>
          <w:sz w:val="30"/>
          <w:szCs w:val="30"/>
          <w:lang w:val="fi-FI"/>
        </w:rPr>
        <w:t xml:space="preserve">Sponsoroinnin painopisteenä on yliopiston vetovoimaisuuden vahvistaminen, etenkin opiskelijamarkkinoinnin tukeminen. </w:t>
      </w:r>
    </w:p>
    <w:p w14:paraId="6E3B7A98" w14:textId="77777777" w:rsidR="00F32C5C" w:rsidRDefault="00F32C5C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004A5A75">
        <w:rPr>
          <w:rFonts w:ascii="Calibri" w:eastAsia="Calibri" w:hAnsi="Calibri" w:cs="Calibri"/>
          <w:sz w:val="30"/>
          <w:szCs w:val="30"/>
          <w:lang w:val="fi-FI"/>
        </w:rPr>
        <w:t xml:space="preserve">Sponsorointipäätöksen valmisteluprosessissa varmistetaan, että mahdollinen sponsorointipäätös on neutraali suhteessa yliopistoyhteisön jäsenten </w:t>
      </w:r>
      <w:r w:rsidR="006F3DB4" w:rsidRPr="004A5A75">
        <w:rPr>
          <w:rFonts w:ascii="Calibri" w:eastAsia="Calibri" w:hAnsi="Calibri" w:cs="Calibri"/>
          <w:sz w:val="30"/>
          <w:szCs w:val="30"/>
          <w:lang w:val="fi-FI"/>
        </w:rPr>
        <w:t xml:space="preserve">eri </w:t>
      </w:r>
      <w:r w:rsidRPr="004A5A75">
        <w:rPr>
          <w:rFonts w:ascii="Calibri" w:eastAsia="Calibri" w:hAnsi="Calibri" w:cs="Calibri"/>
          <w:sz w:val="30"/>
          <w:szCs w:val="30"/>
          <w:lang w:val="fi-FI"/>
        </w:rPr>
        <w:t>intressipiireihin (</w:t>
      </w:r>
      <w:proofErr w:type="spellStart"/>
      <w:r w:rsidRPr="004A5A75">
        <w:rPr>
          <w:rFonts w:ascii="Calibri" w:eastAsia="Calibri" w:hAnsi="Calibri" w:cs="Calibri"/>
          <w:sz w:val="30"/>
          <w:szCs w:val="30"/>
          <w:lang w:val="fi-FI"/>
        </w:rPr>
        <w:t>esteellisyysarvionti</w:t>
      </w:r>
      <w:proofErr w:type="spellEnd"/>
      <w:r w:rsidRPr="004A5A75">
        <w:rPr>
          <w:rFonts w:ascii="Calibri" w:eastAsia="Calibri" w:hAnsi="Calibri" w:cs="Calibri"/>
          <w:sz w:val="30"/>
          <w:szCs w:val="30"/>
          <w:lang w:val="fi-FI"/>
        </w:rPr>
        <w:t>).</w:t>
      </w:r>
      <w:r>
        <w:rPr>
          <w:rFonts w:ascii="Calibri" w:eastAsia="Calibri" w:hAnsi="Calibri" w:cs="Calibri"/>
          <w:sz w:val="30"/>
          <w:szCs w:val="30"/>
          <w:lang w:val="fi-FI"/>
        </w:rPr>
        <w:t xml:space="preserve"> </w:t>
      </w:r>
    </w:p>
    <w:p w14:paraId="64DDA81C" w14:textId="5D2F5B21" w:rsidR="00281333" w:rsidRPr="00354A7E" w:rsidRDefault="00354A7E" w:rsidP="4DE7B131">
      <w:pPr>
        <w:shd w:val="clear" w:color="auto" w:fill="FFFFFF" w:themeFill="background1"/>
        <w:spacing w:before="240" w:after="360"/>
        <w:rPr>
          <w:rFonts w:ascii="Calibri" w:eastAsia="Calibri" w:hAnsi="Calibri" w:cs="Calibri"/>
          <w:sz w:val="30"/>
          <w:szCs w:val="30"/>
          <w:lang w:val="fi-FI"/>
        </w:rPr>
      </w:pPr>
      <w:r w:rsidRPr="4DE7B131">
        <w:rPr>
          <w:rFonts w:ascii="Calibri" w:eastAsia="Calibri" w:hAnsi="Calibri" w:cs="Calibri"/>
          <w:sz w:val="30"/>
          <w:szCs w:val="30"/>
          <w:lang w:val="fi-FI"/>
        </w:rPr>
        <w:t>Kaikki yliopiston sponsorointeja koskevat kyselyt ohjataan LUC viestintäjohtajalle</w:t>
      </w:r>
      <w:r w:rsidR="77C39C77" w:rsidRPr="4DE7B131">
        <w:rPr>
          <w:rFonts w:ascii="Calibri" w:eastAsia="Calibri" w:hAnsi="Calibri" w:cs="Calibri"/>
          <w:sz w:val="30"/>
          <w:szCs w:val="30"/>
          <w:lang w:val="fi-FI"/>
        </w:rPr>
        <w:t xml:space="preserve">. Pienempien tukisponsorointien osalta päätöksen sponsoroinnista tekee viestintäjohtaja. </w:t>
      </w:r>
    </w:p>
    <w:p w14:paraId="27324A24" w14:textId="76EBE957" w:rsidR="00281333" w:rsidRPr="00354A7E" w:rsidRDefault="30E41811" w:rsidP="4DE7B131">
      <w:pPr>
        <w:shd w:val="clear" w:color="auto" w:fill="FFFFFF" w:themeFill="background1"/>
        <w:spacing w:before="240" w:after="360"/>
        <w:rPr>
          <w:rFonts w:ascii="Calibri" w:eastAsia="Calibri" w:hAnsi="Calibri" w:cs="Calibri"/>
          <w:sz w:val="30"/>
          <w:szCs w:val="30"/>
          <w:lang w:val="fi-FI"/>
        </w:rPr>
      </w:pPr>
      <w:r w:rsidRPr="4DE7B131">
        <w:rPr>
          <w:rFonts w:ascii="Calibri" w:eastAsia="Calibri" w:hAnsi="Calibri" w:cs="Calibri"/>
          <w:sz w:val="30"/>
          <w:szCs w:val="30"/>
          <w:lang w:val="fi-FI"/>
        </w:rPr>
        <w:t>Laajempien kumppanuuksien osalta</w:t>
      </w:r>
      <w:r w:rsidR="125B3D1E" w:rsidRPr="4DE7B131">
        <w:rPr>
          <w:rFonts w:ascii="Calibri" w:eastAsia="Calibri" w:hAnsi="Calibri" w:cs="Calibri"/>
          <w:sz w:val="30"/>
          <w:szCs w:val="30"/>
          <w:lang w:val="fi-FI"/>
        </w:rPr>
        <w:t xml:space="preserve"> viestintäjohtaja valmistelee aiheesta esityksen</w:t>
      </w:r>
      <w:r w:rsidRPr="4DE7B131">
        <w:rPr>
          <w:rFonts w:ascii="Calibri" w:eastAsia="Calibri" w:hAnsi="Calibri" w:cs="Calibri"/>
          <w:sz w:val="30"/>
          <w:szCs w:val="30"/>
          <w:lang w:val="fi-FI"/>
        </w:rPr>
        <w:t xml:space="preserve"> </w:t>
      </w:r>
      <w:r w:rsidR="41E46037" w:rsidRPr="4DE7B131">
        <w:rPr>
          <w:rFonts w:ascii="Calibri" w:eastAsia="Calibri" w:hAnsi="Calibri" w:cs="Calibri"/>
          <w:sz w:val="30"/>
          <w:szCs w:val="30"/>
          <w:lang w:val="fi-FI"/>
        </w:rPr>
        <w:t xml:space="preserve">rehtorille, joka tekee sponsorointipäätöksen. </w:t>
      </w:r>
      <w:r w:rsidR="3A713372" w:rsidRPr="4DE7B131">
        <w:rPr>
          <w:rFonts w:ascii="Calibri" w:eastAsia="Calibri" w:hAnsi="Calibri" w:cs="Calibri"/>
          <w:sz w:val="30"/>
          <w:szCs w:val="30"/>
          <w:lang w:val="fi-FI"/>
        </w:rPr>
        <w:t xml:space="preserve">Rehtori tekee päätökset sponsoroinnista kaksi kertaa vuodessa: </w:t>
      </w:r>
      <w:r w:rsidR="3FD695F0" w:rsidRPr="4DE7B131">
        <w:rPr>
          <w:rFonts w:ascii="Calibri" w:eastAsia="Calibri" w:hAnsi="Calibri" w:cs="Calibri"/>
          <w:sz w:val="30"/>
          <w:szCs w:val="30"/>
          <w:lang w:val="fi-FI"/>
        </w:rPr>
        <w:t xml:space="preserve">tammikuun </w:t>
      </w:r>
      <w:r w:rsidR="3A713372" w:rsidRPr="4DE7B131">
        <w:rPr>
          <w:rFonts w:ascii="Calibri" w:eastAsia="Calibri" w:hAnsi="Calibri" w:cs="Calibri"/>
          <w:sz w:val="30"/>
          <w:szCs w:val="30"/>
          <w:lang w:val="fi-FI"/>
        </w:rPr>
        <w:t>lopussa ja e</w:t>
      </w:r>
      <w:r w:rsidR="66668799" w:rsidRPr="4DE7B131">
        <w:rPr>
          <w:rFonts w:ascii="Calibri" w:eastAsia="Calibri" w:hAnsi="Calibri" w:cs="Calibri"/>
          <w:sz w:val="30"/>
          <w:szCs w:val="30"/>
          <w:lang w:val="fi-FI"/>
        </w:rPr>
        <w:t>lokuun alussa.</w:t>
      </w:r>
    </w:p>
    <w:p w14:paraId="0D36C66F" w14:textId="10A008D3" w:rsidR="00281333" w:rsidRPr="00354A7E" w:rsidRDefault="00354A7E" w:rsidP="4DE7B131">
      <w:pPr>
        <w:shd w:val="clear" w:color="auto" w:fill="FFFFFF" w:themeFill="background1"/>
        <w:spacing w:before="240" w:after="360"/>
        <w:rPr>
          <w:rFonts w:ascii="Calibri" w:eastAsia="Calibri" w:hAnsi="Calibri" w:cs="Calibri"/>
          <w:sz w:val="30"/>
          <w:szCs w:val="30"/>
          <w:lang w:val="fi-FI"/>
        </w:rPr>
      </w:pPr>
      <w:r w:rsidRPr="4DE7B131">
        <w:rPr>
          <w:rFonts w:ascii="Calibri" w:eastAsia="Calibri" w:hAnsi="Calibri" w:cs="Calibri"/>
          <w:sz w:val="30"/>
          <w:szCs w:val="30"/>
          <w:lang w:val="fi-FI"/>
        </w:rPr>
        <w:t xml:space="preserve">Sponsorointipäätöksen jälkeen valmistellaan sponsorointisopimus yhteistyössä sponsoroitavan tahon kanssa. </w:t>
      </w:r>
    </w:p>
    <w:p w14:paraId="02EB378F" w14:textId="40E96542" w:rsidR="00281333" w:rsidRPr="00354A7E" w:rsidRDefault="00354A7E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  <w:r w:rsidRPr="2356C20D">
        <w:rPr>
          <w:rFonts w:ascii="Calibri" w:eastAsia="Calibri" w:hAnsi="Calibri" w:cs="Calibri"/>
          <w:sz w:val="30"/>
          <w:szCs w:val="30"/>
          <w:lang w:val="fi-FI"/>
        </w:rPr>
        <w:t xml:space="preserve">Sopimuksella varmistetaan, että osapuolet pääsevät tavoitteisiinsa tiivistä yhteistyötä tehden. </w:t>
      </w:r>
    </w:p>
    <w:p w14:paraId="4F9DD885" w14:textId="3FE8BF70" w:rsidR="2356C20D" w:rsidRDefault="2356C20D" w:rsidP="2356C20D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</w:p>
    <w:p w14:paraId="776CD317" w14:textId="77777777" w:rsidR="00281333" w:rsidRPr="00354A7E" w:rsidRDefault="00354A7E">
      <w:pPr>
        <w:shd w:val="clear" w:color="auto" w:fill="FFFFFF"/>
        <w:spacing w:after="360"/>
        <w:rPr>
          <w:rFonts w:ascii="Calibri" w:eastAsia="Calibri" w:hAnsi="Calibri" w:cs="Calibri"/>
          <w:b/>
          <w:sz w:val="30"/>
          <w:szCs w:val="30"/>
          <w:lang w:val="fi-FI"/>
        </w:rPr>
      </w:pPr>
      <w:r w:rsidRPr="00354A7E">
        <w:rPr>
          <w:rFonts w:ascii="Calibri" w:eastAsia="Calibri" w:hAnsi="Calibri" w:cs="Calibri"/>
          <w:b/>
          <w:sz w:val="30"/>
          <w:szCs w:val="30"/>
          <w:lang w:val="fi-FI"/>
        </w:rPr>
        <w:t>Sponsoroinnin vaikuttavuus ja läpinäkyvyys</w:t>
      </w:r>
    </w:p>
    <w:p w14:paraId="5D9FD23C" w14:textId="77777777" w:rsidR="00281333" w:rsidRPr="00354A7E" w:rsidRDefault="00354A7E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  <w:r w:rsidRPr="00354A7E">
        <w:rPr>
          <w:rFonts w:ascii="Calibri" w:eastAsia="Calibri" w:hAnsi="Calibri" w:cs="Calibri"/>
          <w:sz w:val="30"/>
          <w:szCs w:val="30"/>
          <w:lang w:val="fi-FI"/>
        </w:rPr>
        <w:t xml:space="preserve">Sponsoroinnin toteutumista seurataan vuosittain, ja sopimuskauden päätyttyä sponsoroinnin vaikuttavuudesta tehdään kokonaisarvio. </w:t>
      </w:r>
    </w:p>
    <w:p w14:paraId="03E73CBE" w14:textId="77777777" w:rsidR="00281333" w:rsidRPr="00354A7E" w:rsidRDefault="00354A7E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 w:rsidRPr="00354A7E">
        <w:rPr>
          <w:rFonts w:ascii="Calibri" w:eastAsia="Calibri" w:hAnsi="Calibri" w:cs="Calibri"/>
          <w:sz w:val="30"/>
          <w:szCs w:val="30"/>
          <w:lang w:val="fi-FI"/>
        </w:rPr>
        <w:t xml:space="preserve">Viestintäpalvelut </w:t>
      </w:r>
      <w:proofErr w:type="gramStart"/>
      <w:r w:rsidRPr="00354A7E">
        <w:rPr>
          <w:rFonts w:ascii="Calibri" w:eastAsia="Calibri" w:hAnsi="Calibri" w:cs="Calibri"/>
          <w:sz w:val="30"/>
          <w:szCs w:val="30"/>
          <w:lang w:val="fi-FI"/>
        </w:rPr>
        <w:t>toteuttaa</w:t>
      </w:r>
      <w:proofErr w:type="gramEnd"/>
      <w:r w:rsidRPr="00354A7E">
        <w:rPr>
          <w:rFonts w:ascii="Calibri" w:eastAsia="Calibri" w:hAnsi="Calibri" w:cs="Calibri"/>
          <w:sz w:val="30"/>
          <w:szCs w:val="30"/>
          <w:lang w:val="fi-FI"/>
        </w:rPr>
        <w:t xml:space="preserve"> kaikista yliopiston piirissä olevista sponsorointikohteista ja </w:t>
      </w:r>
      <w:r w:rsidRPr="00354A7E">
        <w:rPr>
          <w:color w:val="202124"/>
          <w:sz w:val="24"/>
          <w:szCs w:val="24"/>
          <w:highlight w:val="white"/>
          <w:lang w:val="fi-FI"/>
        </w:rPr>
        <w:t>-</w:t>
      </w:r>
      <w:r w:rsidRPr="00354A7E">
        <w:rPr>
          <w:rFonts w:ascii="Calibri" w:eastAsia="Calibri" w:hAnsi="Calibri" w:cs="Calibri"/>
          <w:sz w:val="30"/>
          <w:szCs w:val="30"/>
          <w:lang w:val="fi-FI"/>
        </w:rPr>
        <w:t xml:space="preserve">summista kerran vuodessa yhteenvedon, joka julkaistaan yliopiston verkkosivuilla ja intrassa. Tällä varmistetaan sponsoroinnin läpinäkyvyys. </w:t>
      </w:r>
    </w:p>
    <w:p w14:paraId="310ADCD4" w14:textId="54763CA1" w:rsidR="00354A7E" w:rsidRDefault="00354A7E" w:rsidP="4DE7B131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  <w:r w:rsidRPr="4DE7B131">
        <w:rPr>
          <w:rFonts w:ascii="Calibri" w:eastAsia="Calibri" w:hAnsi="Calibri" w:cs="Calibri"/>
          <w:sz w:val="30"/>
          <w:szCs w:val="30"/>
          <w:lang w:val="fi-FI"/>
        </w:rPr>
        <w:t>Nämä periaatteet on hyväksytty rehtori Antti Syväjärvi</w:t>
      </w:r>
      <w:r w:rsidR="110BD5C3" w:rsidRPr="4DE7B131">
        <w:rPr>
          <w:rFonts w:ascii="Calibri" w:eastAsia="Calibri" w:hAnsi="Calibri" w:cs="Calibri"/>
          <w:sz w:val="30"/>
          <w:szCs w:val="30"/>
          <w:lang w:val="fi-FI"/>
        </w:rPr>
        <w:t xml:space="preserve">. </w:t>
      </w:r>
    </w:p>
    <w:p w14:paraId="43EB992E" w14:textId="4698A9DB" w:rsidR="4DE7B131" w:rsidRDefault="4DE7B131" w:rsidP="4DE7B131">
      <w:pPr>
        <w:spacing w:before="240" w:after="240"/>
        <w:rPr>
          <w:rFonts w:ascii="Calibri" w:eastAsia="Calibri" w:hAnsi="Calibri" w:cs="Calibri"/>
          <w:color w:val="FF0000"/>
          <w:sz w:val="30"/>
          <w:szCs w:val="30"/>
          <w:lang w:val="fi-FI"/>
        </w:rPr>
      </w:pPr>
    </w:p>
    <w:p w14:paraId="6FA94F63" w14:textId="0607BD2C" w:rsidR="4DE7B131" w:rsidRDefault="4DE7B131" w:rsidP="4DE7B131">
      <w:pPr>
        <w:spacing w:before="240" w:after="240"/>
        <w:rPr>
          <w:rFonts w:ascii="Calibri" w:eastAsia="Calibri" w:hAnsi="Calibri" w:cs="Calibri"/>
          <w:color w:val="FF0000"/>
          <w:sz w:val="30"/>
          <w:szCs w:val="30"/>
          <w:lang w:val="fi-FI"/>
        </w:rPr>
      </w:pPr>
    </w:p>
    <w:sectPr w:rsidR="4DE7B13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07847"/>
    <w:multiLevelType w:val="multilevel"/>
    <w:tmpl w:val="33FA5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33"/>
    <w:rsid w:val="00010F59"/>
    <w:rsid w:val="00281333"/>
    <w:rsid w:val="00354A7E"/>
    <w:rsid w:val="00431730"/>
    <w:rsid w:val="004A5A75"/>
    <w:rsid w:val="006F3DB4"/>
    <w:rsid w:val="00F32C5C"/>
    <w:rsid w:val="03A7AADC"/>
    <w:rsid w:val="0BF6C229"/>
    <w:rsid w:val="0D0299DD"/>
    <w:rsid w:val="0E6C18A8"/>
    <w:rsid w:val="110BD5C3"/>
    <w:rsid w:val="1199336D"/>
    <w:rsid w:val="125B3D1E"/>
    <w:rsid w:val="12AF3A12"/>
    <w:rsid w:val="14C030D0"/>
    <w:rsid w:val="16D06A04"/>
    <w:rsid w:val="17C191AE"/>
    <w:rsid w:val="2028AEE6"/>
    <w:rsid w:val="2356C20D"/>
    <w:rsid w:val="24BBE7CD"/>
    <w:rsid w:val="268E62CF"/>
    <w:rsid w:val="2AE30289"/>
    <w:rsid w:val="2B840B6F"/>
    <w:rsid w:val="2BB4A121"/>
    <w:rsid w:val="2C2030B4"/>
    <w:rsid w:val="2D3D2E24"/>
    <w:rsid w:val="2D7CA5B6"/>
    <w:rsid w:val="2D85C131"/>
    <w:rsid w:val="2F219192"/>
    <w:rsid w:val="2FE04128"/>
    <w:rsid w:val="30E41811"/>
    <w:rsid w:val="3212A77F"/>
    <w:rsid w:val="36BB9FF5"/>
    <w:rsid w:val="390EEE28"/>
    <w:rsid w:val="39A52D93"/>
    <w:rsid w:val="3A713372"/>
    <w:rsid w:val="3AB3A82E"/>
    <w:rsid w:val="3B40FDF4"/>
    <w:rsid w:val="3BBF19BA"/>
    <w:rsid w:val="3F6EE28F"/>
    <w:rsid w:val="3FD695F0"/>
    <w:rsid w:val="3FD86BF6"/>
    <w:rsid w:val="41E46037"/>
    <w:rsid w:val="43803098"/>
    <w:rsid w:val="43D611AF"/>
    <w:rsid w:val="44302B8C"/>
    <w:rsid w:val="4444D3E9"/>
    <w:rsid w:val="4AADC4D4"/>
    <w:rsid w:val="4C599E82"/>
    <w:rsid w:val="4C606C04"/>
    <w:rsid w:val="4DE7B131"/>
    <w:rsid w:val="501439F0"/>
    <w:rsid w:val="52B678CC"/>
    <w:rsid w:val="52C034E6"/>
    <w:rsid w:val="553401AD"/>
    <w:rsid w:val="561785E8"/>
    <w:rsid w:val="56CFD20E"/>
    <w:rsid w:val="59D74388"/>
    <w:rsid w:val="5A1E26CB"/>
    <w:rsid w:val="5A81EC3F"/>
    <w:rsid w:val="5D99D8DF"/>
    <w:rsid w:val="66668799"/>
    <w:rsid w:val="681E8FF5"/>
    <w:rsid w:val="68602191"/>
    <w:rsid w:val="69E71E57"/>
    <w:rsid w:val="76D1E93F"/>
    <w:rsid w:val="77C39C77"/>
    <w:rsid w:val="7886AF2C"/>
    <w:rsid w:val="7B0BE098"/>
    <w:rsid w:val="7E7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450"/>
  <w15:docId w15:val="{E4A12AC2-ED8C-489E-BE64-9F11A782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BDC8B595268A645848411EDD1126475" ma:contentTypeVersion="16" ma:contentTypeDescription="Luo uusi asiakirja." ma:contentTypeScope="" ma:versionID="69f878a0febeaad58f9d6070f7af54f6">
  <xsd:schema xmlns:xsd="http://www.w3.org/2001/XMLSchema" xmlns:xs="http://www.w3.org/2001/XMLSchema" xmlns:p="http://schemas.microsoft.com/office/2006/metadata/properties" xmlns:ns2="3a11792f-fdb5-4505-bd09-4ab610d6c40c" xmlns:ns3="89482f16-7c06-494b-9972-0c17065913f3" targetNamespace="http://schemas.microsoft.com/office/2006/metadata/properties" ma:root="true" ma:fieldsID="31f433c4fd56594d573b0c616ab686c6" ns2:_="" ns3:_="">
    <xsd:import namespace="3a11792f-fdb5-4505-bd09-4ab610d6c40c"/>
    <xsd:import namespace="89482f16-7c06-494b-9972-0c170659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792f-fdb5-4505-bd09-4ab610d6c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4453bc8f-1269-434e-ac00-62be68090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82f16-7c06-494b-9972-0c170659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5486fb-b2f8-498e-92fd-f92cb2987e51}" ma:internalName="TaxCatchAll" ma:showField="CatchAllData" ma:web="89482f16-7c06-494b-9972-0c170659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82f16-7c06-494b-9972-0c17065913f3" xsi:nil="true"/>
    <lcf76f155ced4ddcb4097134ff3c332f xmlns="3a11792f-fdb5-4505-bd09-4ab610d6c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A1AB59-8C08-407C-A5B7-595092FC0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EAEBC-A18D-4601-9B30-25F34FB0E244}"/>
</file>

<file path=customXml/itemProps3.xml><?xml version="1.0" encoding="utf-8"?>
<ds:datastoreItem xmlns:ds="http://schemas.openxmlformats.org/officeDocument/2006/customXml" ds:itemID="{B88F18E2-5C41-48C6-8D03-41728FE1F450}">
  <ds:schemaRefs>
    <ds:schemaRef ds:uri="http://schemas.microsoft.com/office/2006/metadata/properties"/>
    <ds:schemaRef ds:uri="http://schemas.microsoft.com/office/infopath/2007/PartnerControls"/>
    <ds:schemaRef ds:uri="89482f16-7c06-494b-9972-0c17065913f3"/>
    <ds:schemaRef ds:uri="3a11792f-fdb5-4505-bd09-4ab610d6c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Soinsaari Anne</dc:creator>
  <cp:lastModifiedBy>Soinsaari Anne</cp:lastModifiedBy>
  <cp:revision>2</cp:revision>
  <dcterms:created xsi:type="dcterms:W3CDTF">2023-01-03T15:09:00Z</dcterms:created>
  <dcterms:modified xsi:type="dcterms:W3CDTF">2023-01-03T15:09:00Z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0x010100CBDC8B595268A645848411EDD1126475</vt:lpwstr>
  </property>
</Properties>
</file>