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F58A" w14:textId="14D5E23B" w:rsidR="00281333" w:rsidRPr="00354A7E" w:rsidRDefault="0005691C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</w:r>
      <w:r>
        <w:rPr>
          <w:rFonts w:ascii="Calibri" w:eastAsia="Calibri" w:hAnsi="Calibri" w:cs="Calibri"/>
          <w:sz w:val="30"/>
          <w:szCs w:val="30"/>
          <w:lang w:val="en-GB"/>
        </w:rPr>
        <w:tab/>
        <w:t xml:space="preserve">28 </w:t>
      </w:r>
      <w:r w:rsidR="00165AA9">
        <w:rPr>
          <w:rFonts w:ascii="Calibri" w:eastAsia="Calibri" w:hAnsi="Calibri" w:cs="Calibri"/>
          <w:sz w:val="30"/>
          <w:szCs w:val="30"/>
          <w:lang w:val="en-GB"/>
        </w:rPr>
        <w:t>November 2022</w:t>
      </w:r>
    </w:p>
    <w:p w14:paraId="5C175161" w14:textId="10FA49C6" w:rsidR="00281333" w:rsidRPr="00354A7E" w:rsidRDefault="00165AA9">
      <w:pPr>
        <w:pStyle w:val="Otsikko2"/>
        <w:keepNext w:val="0"/>
        <w:keepLines w:val="0"/>
        <w:shd w:val="clear" w:color="auto" w:fill="FFFFFF"/>
        <w:spacing w:before="300" w:after="160" w:line="240" w:lineRule="auto"/>
        <w:rPr>
          <w:rFonts w:ascii="Calibri" w:eastAsia="Calibri" w:hAnsi="Calibri" w:cs="Calibri"/>
          <w:b/>
          <w:color w:val="00205B"/>
          <w:sz w:val="30"/>
          <w:szCs w:val="30"/>
          <w:lang w:val="fi-FI"/>
        </w:rPr>
      </w:pPr>
      <w:bookmarkStart w:id="0" w:name="_w5wbszjoslc4"/>
      <w:bookmarkStart w:id="1" w:name="_GoBack"/>
      <w:bookmarkEnd w:id="0"/>
      <w:r>
        <w:rPr>
          <w:rFonts w:ascii="Calibri" w:eastAsia="Calibri" w:hAnsi="Calibri" w:cs="Calibri"/>
          <w:sz w:val="54"/>
          <w:szCs w:val="54"/>
          <w:lang w:val="en-GB"/>
        </w:rPr>
        <w:t>Sponsorship principles and procedures at the University of Lapland</w:t>
      </w:r>
      <w:bookmarkEnd w:id="1"/>
      <w:r w:rsidR="0005691C">
        <w:rPr>
          <w:rFonts w:ascii="Calibri" w:eastAsia="Calibri" w:hAnsi="Calibri" w:cs="Calibri"/>
          <w:sz w:val="54"/>
          <w:szCs w:val="54"/>
          <w:lang w:val="en-GB"/>
        </w:rPr>
        <w:br/>
      </w:r>
    </w:p>
    <w:p w14:paraId="2F29FC83" w14:textId="77777777" w:rsidR="00281333" w:rsidRPr="00354A7E" w:rsidRDefault="00165AA9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>Sponsorship refers to investments for which the university receives a proper compensation involving, for instance, increased visibility or recognition.</w:t>
      </w:r>
    </w:p>
    <w:p w14:paraId="0AD54D4A" w14:textId="5362D10A" w:rsidR="00281333" w:rsidRPr="00354A7E" w:rsidRDefault="00165AA9" w:rsidP="390EEE28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This document contains the principles and procedures that govern sponsoring at the University of Lapland. </w:t>
      </w:r>
      <w:r w:rsidR="0005691C">
        <w:rPr>
          <w:rFonts w:ascii="Calibri" w:eastAsia="Calibri" w:hAnsi="Calibri" w:cs="Calibri"/>
          <w:sz w:val="30"/>
          <w:szCs w:val="30"/>
          <w:lang w:val="en-GB"/>
        </w:rPr>
        <w:br/>
      </w:r>
    </w:p>
    <w:p w14:paraId="345F32EF" w14:textId="77777777" w:rsidR="00281333" w:rsidRPr="00354A7E" w:rsidRDefault="00165AA9">
      <w:pPr>
        <w:shd w:val="clear" w:color="auto" w:fill="FFFFFF"/>
        <w:spacing w:after="360"/>
        <w:rPr>
          <w:rFonts w:ascii="Calibri" w:eastAsia="Calibri" w:hAnsi="Calibri" w:cs="Calibri"/>
          <w:b/>
          <w:sz w:val="30"/>
          <w:szCs w:val="30"/>
          <w:lang w:val="fi-FI"/>
        </w:rPr>
      </w:pPr>
      <w:r>
        <w:rPr>
          <w:rFonts w:ascii="Calibri" w:eastAsia="Calibri" w:hAnsi="Calibri" w:cs="Calibri"/>
          <w:b/>
          <w:bCs/>
          <w:sz w:val="30"/>
          <w:szCs w:val="30"/>
          <w:lang w:val="en-GB"/>
        </w:rPr>
        <w:t>Targets of sponsorship</w:t>
      </w:r>
    </w:p>
    <w:p w14:paraId="4F82DA08" w14:textId="76812AB6" w:rsidR="00281333" w:rsidRPr="00354A7E" w:rsidRDefault="00165AA9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The principles of sponsoring build on the values </w:t>
      </w:r>
      <w:r w:rsidR="0005691C">
        <w:rPr>
          <w:rFonts w:ascii="Calibri" w:eastAsia="Calibri" w:hAnsi="Calibri" w:cs="Calibri"/>
          <w:sz w:val="30"/>
          <w:szCs w:val="30"/>
          <w:lang w:val="en-GB"/>
        </w:rPr>
        <w:t xml:space="preserve">of ULapland </w:t>
      </w:r>
      <w:r>
        <w:rPr>
          <w:rFonts w:ascii="Calibri" w:eastAsia="Calibri" w:hAnsi="Calibri" w:cs="Calibri"/>
          <w:sz w:val="30"/>
          <w:szCs w:val="30"/>
          <w:lang w:val="en-GB"/>
        </w:rPr>
        <w:t xml:space="preserve">and support </w:t>
      </w:r>
      <w:r w:rsidR="0005691C">
        <w:rPr>
          <w:rFonts w:ascii="Calibri" w:eastAsia="Calibri" w:hAnsi="Calibri" w:cs="Calibri"/>
          <w:sz w:val="30"/>
          <w:szCs w:val="30"/>
          <w:lang w:val="en-GB"/>
        </w:rPr>
        <w:t>its</w:t>
      </w:r>
      <w:r>
        <w:rPr>
          <w:rFonts w:ascii="Calibri" w:eastAsia="Calibri" w:hAnsi="Calibri" w:cs="Calibri"/>
          <w:sz w:val="30"/>
          <w:szCs w:val="30"/>
          <w:lang w:val="en-GB"/>
        </w:rPr>
        <w:t xml:space="preserve"> strategy. Societal responsibility and influential operation play a crucial role in selecting targets of cooperation.</w:t>
      </w:r>
    </w:p>
    <w:p w14:paraId="4095F09A" w14:textId="523BE1B5" w:rsidR="00281333" w:rsidRPr="00354A7E" w:rsidRDefault="00165AA9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>Primarily, ULapland sponsors projects that promote one</w:t>
      </w:r>
      <w:r w:rsidR="008428CD">
        <w:rPr>
          <w:rFonts w:ascii="Calibri" w:eastAsia="Calibri" w:hAnsi="Calibri" w:cs="Calibri"/>
          <w:sz w:val="30"/>
          <w:szCs w:val="30"/>
          <w:lang w:val="en-GB"/>
        </w:rPr>
        <w:t xml:space="preserve"> or more</w:t>
      </w:r>
      <w:r>
        <w:rPr>
          <w:rFonts w:ascii="Calibri" w:eastAsia="Calibri" w:hAnsi="Calibri" w:cs="Calibri"/>
          <w:sz w:val="30"/>
          <w:szCs w:val="30"/>
          <w:lang w:val="en-GB"/>
        </w:rPr>
        <w:t xml:space="preserve"> of the following</w:t>
      </w:r>
      <w:r w:rsidR="007200A0">
        <w:rPr>
          <w:rFonts w:ascii="Calibri" w:eastAsia="Calibri" w:hAnsi="Calibri" w:cs="Calibri"/>
          <w:sz w:val="30"/>
          <w:szCs w:val="30"/>
          <w:lang w:val="en-GB"/>
        </w:rPr>
        <w:t xml:space="preserve"> three </w:t>
      </w:r>
      <w:r w:rsidR="0005691C">
        <w:rPr>
          <w:rFonts w:ascii="Calibri" w:eastAsia="Calibri" w:hAnsi="Calibri" w:cs="Calibri"/>
          <w:sz w:val="30"/>
          <w:szCs w:val="30"/>
          <w:lang w:val="en-GB"/>
        </w:rPr>
        <w:t>dimensions</w:t>
      </w:r>
      <w:r>
        <w:rPr>
          <w:rFonts w:ascii="Calibri" w:eastAsia="Calibri" w:hAnsi="Calibri" w:cs="Calibri"/>
          <w:sz w:val="30"/>
          <w:szCs w:val="30"/>
          <w:lang w:val="en-GB"/>
        </w:rPr>
        <w:t>:</w:t>
      </w:r>
    </w:p>
    <w:p w14:paraId="1F98D06B" w14:textId="7E8A1CD4" w:rsidR="00281333" w:rsidRPr="00354A7E" w:rsidRDefault="00165AA9" w:rsidP="2356C20D">
      <w:pPr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>The well-being, equality, and culture of the Arctic and people therein</w:t>
      </w:r>
    </w:p>
    <w:p w14:paraId="647D4CE9" w14:textId="139262E9" w:rsidR="00281333" w:rsidRPr="00354A7E" w:rsidRDefault="00165AA9" w:rsidP="2356C20D">
      <w:pPr>
        <w:numPr>
          <w:ilvl w:val="0"/>
          <w:numId w:val="1"/>
        </w:numPr>
        <w:shd w:val="clear" w:color="auto" w:fill="FFFFFF" w:themeFill="background1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>Northern science, art, and expertise</w:t>
      </w:r>
    </w:p>
    <w:p w14:paraId="280F9A9B" w14:textId="5CE03F7B" w:rsidR="00354A7E" w:rsidRDefault="00165AA9" w:rsidP="2356C20D">
      <w:pPr>
        <w:numPr>
          <w:ilvl w:val="0"/>
          <w:numId w:val="1"/>
        </w:num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>Sustainable ecological or social development and the university’s social responsibility</w:t>
      </w:r>
    </w:p>
    <w:p w14:paraId="2B3126F8" w14:textId="7BA60125" w:rsidR="52C034E6" w:rsidRDefault="00043D0D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Promoting these issues is </w:t>
      </w:r>
      <w:r w:rsidR="0057163C">
        <w:rPr>
          <w:rFonts w:ascii="Calibri" w:eastAsia="Calibri" w:hAnsi="Calibri" w:cs="Calibri"/>
          <w:sz w:val="30"/>
          <w:szCs w:val="30"/>
          <w:lang w:val="en-GB"/>
        </w:rPr>
        <w:t>also</w:t>
      </w:r>
      <w:r>
        <w:rPr>
          <w:rFonts w:ascii="Calibri" w:eastAsia="Calibri" w:hAnsi="Calibri" w:cs="Calibri"/>
          <w:sz w:val="30"/>
          <w:szCs w:val="30"/>
          <w:lang w:val="en-GB"/>
        </w:rPr>
        <w:t xml:space="preserve"> expected to</w:t>
      </w:r>
      <w:r w:rsidR="0057163C">
        <w:rPr>
          <w:rFonts w:ascii="Calibri" w:eastAsia="Calibri" w:hAnsi="Calibri" w:cs="Calibri"/>
          <w:sz w:val="30"/>
          <w:szCs w:val="30"/>
          <w:lang w:val="en-GB"/>
        </w:rPr>
        <w:t xml:space="preserve"> increase</w:t>
      </w:r>
      <w:r w:rsidR="00165AA9">
        <w:rPr>
          <w:rFonts w:ascii="Calibri" w:eastAsia="Calibri" w:hAnsi="Calibri" w:cs="Calibri"/>
          <w:sz w:val="30"/>
          <w:szCs w:val="30"/>
          <w:lang w:val="en-GB"/>
        </w:rPr>
        <w:t xml:space="preserve"> the </w:t>
      </w:r>
      <w:r w:rsidR="0057163C">
        <w:rPr>
          <w:rFonts w:ascii="Calibri" w:eastAsia="Calibri" w:hAnsi="Calibri" w:cs="Calibri"/>
          <w:sz w:val="30"/>
          <w:szCs w:val="30"/>
          <w:lang w:val="en-GB"/>
        </w:rPr>
        <w:t>appeal</w:t>
      </w:r>
      <w:r w:rsidR="00165AA9">
        <w:rPr>
          <w:rFonts w:ascii="Calibri" w:eastAsia="Calibri" w:hAnsi="Calibri" w:cs="Calibri"/>
          <w:sz w:val="30"/>
          <w:szCs w:val="30"/>
          <w:lang w:val="en-GB"/>
        </w:rPr>
        <w:t xml:space="preserve"> of the university and create a positive image of us.</w:t>
      </w:r>
    </w:p>
    <w:p w14:paraId="786646ED" w14:textId="77777777" w:rsidR="0005691C" w:rsidRDefault="0005691C">
      <w:pPr>
        <w:spacing w:before="240" w:after="240"/>
        <w:rPr>
          <w:rFonts w:ascii="Calibri" w:eastAsia="Calibri" w:hAnsi="Calibri" w:cs="Calibri"/>
          <w:b/>
          <w:bCs/>
          <w:sz w:val="30"/>
          <w:szCs w:val="30"/>
          <w:lang w:val="en-GB"/>
        </w:rPr>
      </w:pPr>
    </w:p>
    <w:p w14:paraId="3D0059AD" w14:textId="06BBE6C4" w:rsidR="00281333" w:rsidRPr="00354A7E" w:rsidRDefault="00165AA9">
      <w:pPr>
        <w:spacing w:before="240" w:after="240"/>
        <w:rPr>
          <w:rFonts w:ascii="Calibri" w:eastAsia="Calibri" w:hAnsi="Calibri" w:cs="Calibri"/>
          <w:color w:val="FF0000"/>
          <w:sz w:val="30"/>
          <w:szCs w:val="30"/>
          <w:lang w:val="fi-FI"/>
        </w:rPr>
      </w:pPr>
      <w:r>
        <w:rPr>
          <w:rFonts w:ascii="Calibri" w:eastAsia="Calibri" w:hAnsi="Calibri" w:cs="Calibri"/>
          <w:b/>
          <w:bCs/>
          <w:sz w:val="30"/>
          <w:szCs w:val="30"/>
          <w:lang w:val="en-GB"/>
        </w:rPr>
        <w:lastRenderedPageBreak/>
        <w:t>Decisions on sponsorship</w:t>
      </w:r>
    </w:p>
    <w:p w14:paraId="6B7AE3FF" w14:textId="4AF38774" w:rsidR="00F32C5C" w:rsidRDefault="00165AA9" w:rsidP="2356C20D">
      <w:pPr>
        <w:shd w:val="clear" w:color="auto" w:fill="FFFFFF" w:themeFill="background1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The preparation and coordination of sponsorship are carried out by the LUC Communication Services. Sponsoring supports primarily our societal interaction, our attractiveness as a responsible academic actor and community, and our image as a responsible developer of the region. </w:t>
      </w:r>
    </w:p>
    <w:p w14:paraId="1A32ADA7" w14:textId="77777777" w:rsidR="006F3DB4" w:rsidRPr="004A5A75" w:rsidRDefault="00165AA9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Sponsorship focuses on increasing the appeal of the university, particularly in terms of student marketing. </w:t>
      </w:r>
    </w:p>
    <w:p w14:paraId="6E3B7A98" w14:textId="77777777" w:rsidR="00F32C5C" w:rsidRDefault="00165AA9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The preparation process of a sponsorship decision ensures that the potential decision is a neutral one, considering the community members’ various interests (incapacity assessment). </w:t>
      </w:r>
    </w:p>
    <w:p w14:paraId="64DDA81C" w14:textId="5D2F5B21" w:rsidR="00281333" w:rsidRPr="00354A7E" w:rsidRDefault="00165AA9" w:rsidP="4DE7B131">
      <w:pPr>
        <w:shd w:val="clear" w:color="auto" w:fill="FFFFFF" w:themeFill="background1"/>
        <w:spacing w:before="240"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All questions concerning university sponsorship are directed to the LUC director of communications. Small-scale sponsorship decisions are made by the director of communications. </w:t>
      </w:r>
    </w:p>
    <w:p w14:paraId="27324A24" w14:textId="76EBE957" w:rsidR="00281333" w:rsidRPr="00354A7E" w:rsidRDefault="00165AA9" w:rsidP="4DE7B131">
      <w:pPr>
        <w:shd w:val="clear" w:color="auto" w:fill="FFFFFF" w:themeFill="background1"/>
        <w:spacing w:before="240"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>As for larger partnerships, the director of communications prepares a proposal to the rector, who then makes the sponsorship decision. The rector makes the decisions twice a year: at the end of January and at the beginning of August.</w:t>
      </w:r>
    </w:p>
    <w:p w14:paraId="0D36C66F" w14:textId="10A008D3" w:rsidR="00281333" w:rsidRPr="00354A7E" w:rsidRDefault="00165AA9" w:rsidP="4DE7B131">
      <w:pPr>
        <w:shd w:val="clear" w:color="auto" w:fill="FFFFFF" w:themeFill="background1"/>
        <w:spacing w:before="240"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After a decision has been made, a sponsorship contract is prepared jointly with the sponsored party. </w:t>
      </w:r>
    </w:p>
    <w:p w14:paraId="02EB378F" w14:textId="0509DC52" w:rsidR="00281333" w:rsidRDefault="00165AA9">
      <w:pPr>
        <w:spacing w:before="240" w:after="240"/>
        <w:rPr>
          <w:rFonts w:ascii="Calibri" w:eastAsia="Calibri" w:hAnsi="Calibri" w:cs="Calibri"/>
          <w:sz w:val="30"/>
          <w:szCs w:val="30"/>
          <w:lang w:val="en-GB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The contract ensures that the parties reach their goals in close cooperation. </w:t>
      </w:r>
    </w:p>
    <w:p w14:paraId="6655F088" w14:textId="09F97AD5" w:rsidR="00E7613F" w:rsidRDefault="00E7613F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</w:p>
    <w:p w14:paraId="42EA06A9" w14:textId="270E4D99" w:rsidR="00E7613F" w:rsidRDefault="00E7613F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</w:p>
    <w:p w14:paraId="6AC3B601" w14:textId="77777777" w:rsidR="00E7613F" w:rsidRPr="00354A7E" w:rsidRDefault="00E7613F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</w:p>
    <w:p w14:paraId="776CD317" w14:textId="291A44C1" w:rsidR="00281333" w:rsidRPr="00354A7E" w:rsidRDefault="00165AA9">
      <w:pPr>
        <w:shd w:val="clear" w:color="auto" w:fill="FFFFFF"/>
        <w:spacing w:after="360"/>
        <w:rPr>
          <w:rFonts w:ascii="Calibri" w:eastAsia="Calibri" w:hAnsi="Calibri" w:cs="Calibri"/>
          <w:b/>
          <w:sz w:val="30"/>
          <w:szCs w:val="30"/>
          <w:lang w:val="fi-FI"/>
        </w:rPr>
      </w:pPr>
      <w:r>
        <w:rPr>
          <w:rFonts w:ascii="Calibri" w:eastAsia="Calibri" w:hAnsi="Calibri" w:cs="Calibri"/>
          <w:b/>
          <w:bCs/>
          <w:sz w:val="30"/>
          <w:szCs w:val="30"/>
          <w:lang w:val="en-GB"/>
        </w:rPr>
        <w:lastRenderedPageBreak/>
        <w:t>Influence and transparency of sponsorship</w:t>
      </w:r>
    </w:p>
    <w:p w14:paraId="5D9FD23C" w14:textId="77777777" w:rsidR="00281333" w:rsidRPr="00354A7E" w:rsidRDefault="00165AA9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The progress of sponsoring is monitored annually, and an overall assessment is made of its influence at the end of the contract period. </w:t>
      </w:r>
    </w:p>
    <w:p w14:paraId="03E73CBE" w14:textId="63212223" w:rsidR="00281333" w:rsidRPr="00354A7E" w:rsidRDefault="00165AA9">
      <w:pPr>
        <w:shd w:val="clear" w:color="auto" w:fill="FFFFFF"/>
        <w:spacing w:after="36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Once a year, the Communication Services draw up a summary of all the sponsorship targets and amounts within the scope of the university. The summary is published on </w:t>
      </w:r>
      <w:r w:rsidR="00043D0D">
        <w:rPr>
          <w:rFonts w:ascii="Calibri" w:eastAsia="Calibri" w:hAnsi="Calibri" w:cs="Calibri"/>
          <w:sz w:val="30"/>
          <w:szCs w:val="30"/>
          <w:lang w:val="en-GB"/>
        </w:rPr>
        <w:t>our</w:t>
      </w:r>
      <w:r>
        <w:rPr>
          <w:rFonts w:ascii="Calibri" w:eastAsia="Calibri" w:hAnsi="Calibri" w:cs="Calibri"/>
          <w:sz w:val="30"/>
          <w:szCs w:val="30"/>
          <w:lang w:val="en-GB"/>
        </w:rPr>
        <w:t xml:space="preserve"> website and intranet. This is to ensure the transparency of sponsoring. </w:t>
      </w:r>
    </w:p>
    <w:p w14:paraId="310ADCD4" w14:textId="54763CA1" w:rsidR="00354A7E" w:rsidRDefault="00165AA9" w:rsidP="4DE7B131">
      <w:pPr>
        <w:spacing w:before="240" w:after="240"/>
        <w:rPr>
          <w:rFonts w:ascii="Calibri" w:eastAsia="Calibri" w:hAnsi="Calibri" w:cs="Calibri"/>
          <w:sz w:val="30"/>
          <w:szCs w:val="30"/>
          <w:lang w:val="fi-FI"/>
        </w:rPr>
      </w:pPr>
      <w:r>
        <w:rPr>
          <w:rFonts w:ascii="Calibri" w:eastAsia="Calibri" w:hAnsi="Calibri" w:cs="Calibri"/>
          <w:sz w:val="30"/>
          <w:szCs w:val="30"/>
          <w:lang w:val="en-GB"/>
        </w:rPr>
        <w:t xml:space="preserve">These principles have been approved by Rector Antti Syväjärvi. </w:t>
      </w:r>
    </w:p>
    <w:p w14:paraId="43EB992E" w14:textId="4698A9DB" w:rsidR="4DE7B131" w:rsidRDefault="4DE7B131" w:rsidP="4DE7B131">
      <w:pPr>
        <w:spacing w:before="240" w:after="240"/>
        <w:rPr>
          <w:rFonts w:ascii="Calibri" w:eastAsia="Calibri" w:hAnsi="Calibri" w:cs="Calibri"/>
          <w:color w:val="FF0000"/>
          <w:sz w:val="30"/>
          <w:szCs w:val="30"/>
          <w:lang w:val="fi-FI"/>
        </w:rPr>
      </w:pPr>
    </w:p>
    <w:p w14:paraId="6FA94F63" w14:textId="0607BD2C" w:rsidR="4DE7B131" w:rsidRDefault="4DE7B131" w:rsidP="4DE7B131">
      <w:pPr>
        <w:spacing w:before="240" w:after="240"/>
        <w:rPr>
          <w:rFonts w:ascii="Calibri" w:eastAsia="Calibri" w:hAnsi="Calibri" w:cs="Calibri"/>
          <w:color w:val="FF0000"/>
          <w:sz w:val="30"/>
          <w:szCs w:val="30"/>
          <w:lang w:val="fi-FI"/>
        </w:rPr>
      </w:pPr>
    </w:p>
    <w:sectPr w:rsidR="4DE7B13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07847"/>
    <w:multiLevelType w:val="multilevel"/>
    <w:tmpl w:val="33FA5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33"/>
    <w:rsid w:val="00010F59"/>
    <w:rsid w:val="00043D0D"/>
    <w:rsid w:val="0005691C"/>
    <w:rsid w:val="00165AA9"/>
    <w:rsid w:val="00281333"/>
    <w:rsid w:val="00354A7E"/>
    <w:rsid w:val="00431730"/>
    <w:rsid w:val="004A5A75"/>
    <w:rsid w:val="0057163C"/>
    <w:rsid w:val="006F3DB4"/>
    <w:rsid w:val="007200A0"/>
    <w:rsid w:val="008428CD"/>
    <w:rsid w:val="008D183E"/>
    <w:rsid w:val="00E7613F"/>
    <w:rsid w:val="00F32C5C"/>
    <w:rsid w:val="03A7AADC"/>
    <w:rsid w:val="0BF6C229"/>
    <w:rsid w:val="0D0299DD"/>
    <w:rsid w:val="0E6C18A8"/>
    <w:rsid w:val="110BD5C3"/>
    <w:rsid w:val="1199336D"/>
    <w:rsid w:val="125B3D1E"/>
    <w:rsid w:val="12AF3A12"/>
    <w:rsid w:val="14C030D0"/>
    <w:rsid w:val="16D06A04"/>
    <w:rsid w:val="17C191AE"/>
    <w:rsid w:val="2028AEE6"/>
    <w:rsid w:val="2356C20D"/>
    <w:rsid w:val="24BBE7CD"/>
    <w:rsid w:val="268E62CF"/>
    <w:rsid w:val="2AE30289"/>
    <w:rsid w:val="2B840B6F"/>
    <w:rsid w:val="2BB4A121"/>
    <w:rsid w:val="2C2030B4"/>
    <w:rsid w:val="2D3D2E24"/>
    <w:rsid w:val="2D7CA5B6"/>
    <w:rsid w:val="2D85C131"/>
    <w:rsid w:val="2F219192"/>
    <w:rsid w:val="2FE04128"/>
    <w:rsid w:val="30E41811"/>
    <w:rsid w:val="3212A77F"/>
    <w:rsid w:val="36BB9FF5"/>
    <w:rsid w:val="390EEE28"/>
    <w:rsid w:val="39A52D93"/>
    <w:rsid w:val="3A713372"/>
    <w:rsid w:val="3AB3A82E"/>
    <w:rsid w:val="3B40FDF4"/>
    <w:rsid w:val="3BBF19BA"/>
    <w:rsid w:val="3F6EE28F"/>
    <w:rsid w:val="3FD695F0"/>
    <w:rsid w:val="3FD86BF6"/>
    <w:rsid w:val="41E46037"/>
    <w:rsid w:val="43803098"/>
    <w:rsid w:val="43D611AF"/>
    <w:rsid w:val="44302B8C"/>
    <w:rsid w:val="4444D3E9"/>
    <w:rsid w:val="4AADC4D4"/>
    <w:rsid w:val="4C599E82"/>
    <w:rsid w:val="4C606C04"/>
    <w:rsid w:val="4DE7B131"/>
    <w:rsid w:val="501439F0"/>
    <w:rsid w:val="52B678CC"/>
    <w:rsid w:val="52C034E6"/>
    <w:rsid w:val="553401AD"/>
    <w:rsid w:val="561785E8"/>
    <w:rsid w:val="56CFD20E"/>
    <w:rsid w:val="59D74388"/>
    <w:rsid w:val="5A1E26CB"/>
    <w:rsid w:val="5A81EC3F"/>
    <w:rsid w:val="5D99D8DF"/>
    <w:rsid w:val="66668799"/>
    <w:rsid w:val="681E8FF5"/>
    <w:rsid w:val="68602191"/>
    <w:rsid w:val="69E71E57"/>
    <w:rsid w:val="76D1E93F"/>
    <w:rsid w:val="77C39C77"/>
    <w:rsid w:val="7886AF2C"/>
    <w:rsid w:val="7B0BE098"/>
    <w:rsid w:val="7E7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C450"/>
  <w15:docId w15:val="{E4A12AC2-ED8C-489E-BE64-9F11A78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482f16-7c06-494b-9972-0c17065913f3" xsi:nil="true"/>
    <lcf76f155ced4ddcb4097134ff3c332f xmlns="3a11792f-fdb5-4505-bd09-4ab610d6c40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BDC8B595268A645848411EDD1126475" ma:contentTypeVersion="16" ma:contentTypeDescription="Luo uusi asiakirja." ma:contentTypeScope="" ma:versionID="69f878a0febeaad58f9d6070f7af54f6">
  <xsd:schema xmlns:xsd="http://www.w3.org/2001/XMLSchema" xmlns:xs="http://www.w3.org/2001/XMLSchema" xmlns:p="http://schemas.microsoft.com/office/2006/metadata/properties" xmlns:ns2="3a11792f-fdb5-4505-bd09-4ab610d6c40c" xmlns:ns3="89482f16-7c06-494b-9972-0c17065913f3" targetNamespace="http://schemas.microsoft.com/office/2006/metadata/properties" ma:root="true" ma:fieldsID="31f433c4fd56594d573b0c616ab686c6" ns2:_="" ns3:_="">
    <xsd:import namespace="3a11792f-fdb5-4505-bd09-4ab610d6c40c"/>
    <xsd:import namespace="89482f16-7c06-494b-9972-0c1706591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1792f-fdb5-4505-bd09-4ab610d6c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4453bc8f-1269-434e-ac00-62be68090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82f16-7c06-494b-9972-0c17065913f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15486fb-b2f8-498e-92fd-f92cb2987e51}" ma:internalName="TaxCatchAll" ma:showField="CatchAllData" ma:web="89482f16-7c06-494b-9972-0c1706591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1AB59-8C08-407C-A5B7-595092FC0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F18E2-5C41-48C6-8D03-41728FE1F450}">
  <ds:schemaRefs>
    <ds:schemaRef ds:uri="http://schemas.microsoft.com/office/2006/metadata/properties"/>
    <ds:schemaRef ds:uri="http://schemas.microsoft.com/office/infopath/2007/PartnerControls"/>
    <ds:schemaRef ds:uri="89482f16-7c06-494b-9972-0c17065913f3"/>
    <ds:schemaRef ds:uri="3a11792f-fdb5-4505-bd09-4ab610d6c40c"/>
  </ds:schemaRefs>
</ds:datastoreItem>
</file>

<file path=customXml/itemProps3.xml><?xml version="1.0" encoding="utf-8"?>
<ds:datastoreItem xmlns:ds="http://schemas.openxmlformats.org/officeDocument/2006/customXml" ds:itemID="{847EAEBC-A18D-4601-9B30-25F34FB0E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1792f-fdb5-4505-bd09-4ab610d6c40c"/>
    <ds:schemaRef ds:uri="89482f16-7c06-494b-9972-0c170659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LUC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Soinsaari Anne</dc:creator>
  <cp:lastModifiedBy>Kontio Markku</cp:lastModifiedBy>
  <cp:revision>2</cp:revision>
  <dcterms:created xsi:type="dcterms:W3CDTF">2023-04-14T09:11:00Z</dcterms:created>
  <dcterms:modified xsi:type="dcterms:W3CDTF">2023-04-14T09:11:00Z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0x010100CBDC8B595268A645848411EDD1126475</vt:lpwstr>
  </property>
</Properties>
</file>